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6F0D3" w14:textId="1A14DC47" w:rsidR="0061521E" w:rsidRDefault="0061521E">
      <w:pPr>
        <w:ind w:left="924" w:hanging="357"/>
        <w:rPr>
          <w:rFonts w:eastAsiaTheme="majorEastAsia" w:cstheme="majorBidi"/>
          <w:b/>
          <w:bCs/>
          <w:sz w:val="28"/>
          <w:szCs w:val="28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820"/>
        <w:gridCol w:w="5068"/>
      </w:tblGrid>
      <w:tr w:rsidR="0061521E" w:rsidRPr="0061521E" w14:paraId="36581C50" w14:textId="77777777" w:rsidTr="00544C38">
        <w:tc>
          <w:tcPr>
            <w:tcW w:w="4820" w:type="dxa"/>
          </w:tcPr>
          <w:p w14:paraId="2077E9FA" w14:textId="77777777" w:rsidR="0061521E" w:rsidRPr="0061521E" w:rsidRDefault="0061521E" w:rsidP="00544C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521E">
              <w:rPr>
                <w:rFonts w:ascii="Arial" w:hAnsi="Arial" w:cs="Arial"/>
                <w:b/>
                <w:sz w:val="24"/>
                <w:szCs w:val="24"/>
              </w:rPr>
              <w:br w:type="page"/>
              <w:t>HEA Associate Fellow – Descriptor 1</w:t>
            </w:r>
          </w:p>
          <w:p w14:paraId="3357EFAB" w14:textId="77777777" w:rsidR="0061521E" w:rsidRPr="0061521E" w:rsidRDefault="0061521E" w:rsidP="00544C38">
            <w:pPr>
              <w:jc w:val="center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068" w:type="dxa"/>
          </w:tcPr>
          <w:p w14:paraId="4F923069" w14:textId="77777777" w:rsidR="0061521E" w:rsidRPr="0061521E" w:rsidRDefault="0061521E" w:rsidP="00544C38">
            <w:pPr>
              <w:jc w:val="center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 w:rsidRPr="0061521E">
              <w:rPr>
                <w:rFonts w:ascii="Arial" w:hAnsi="Arial" w:cs="Arial"/>
                <w:b/>
                <w:sz w:val="24"/>
                <w:szCs w:val="24"/>
              </w:rPr>
              <w:t>HEA  Fellow – Descriptor 2</w:t>
            </w:r>
          </w:p>
        </w:tc>
      </w:tr>
      <w:tr w:rsidR="0061521E" w:rsidRPr="0061521E" w14:paraId="7D572943" w14:textId="77777777" w:rsidTr="00544C38">
        <w:tc>
          <w:tcPr>
            <w:tcW w:w="4820" w:type="dxa"/>
          </w:tcPr>
          <w:p w14:paraId="6D42FFAD" w14:textId="77777777" w:rsidR="0061521E" w:rsidRDefault="0061521E" w:rsidP="00544C38">
            <w:pPr>
              <w:rPr>
                <w:rFonts w:ascii="Arial" w:hAnsi="Arial" w:cs="Arial"/>
              </w:rPr>
            </w:pPr>
            <w:r w:rsidRPr="0061521E">
              <w:rPr>
                <w:rFonts w:ascii="Arial" w:hAnsi="Arial" w:cs="Arial"/>
              </w:rPr>
              <w:t>Early career researchers with some teaching responsibilities (e.g. PhD students, GTAs, contract researchers/</w:t>
            </w:r>
            <w:proofErr w:type="spellStart"/>
            <w:r w:rsidRPr="0061521E">
              <w:rPr>
                <w:rFonts w:ascii="Arial" w:hAnsi="Arial" w:cs="Arial"/>
              </w:rPr>
              <w:t>post doctoral</w:t>
            </w:r>
            <w:proofErr w:type="spellEnd"/>
            <w:r w:rsidRPr="0061521E">
              <w:rPr>
                <w:rFonts w:ascii="Arial" w:hAnsi="Arial" w:cs="Arial"/>
              </w:rPr>
              <w:t xml:space="preserve"> researchers etc.)</w:t>
            </w:r>
          </w:p>
          <w:p w14:paraId="3E578F27" w14:textId="77777777" w:rsidR="0061521E" w:rsidRPr="0061521E" w:rsidRDefault="0061521E" w:rsidP="00544C38">
            <w:pPr>
              <w:rPr>
                <w:rFonts w:ascii="Arial" w:hAnsi="Arial" w:cs="Arial"/>
              </w:rPr>
            </w:pPr>
          </w:p>
        </w:tc>
        <w:tc>
          <w:tcPr>
            <w:tcW w:w="5068" w:type="dxa"/>
          </w:tcPr>
          <w:p w14:paraId="401B9606" w14:textId="77777777" w:rsidR="0061521E" w:rsidRPr="0061521E" w:rsidRDefault="0061521E" w:rsidP="00544C38">
            <w:pPr>
              <w:rPr>
                <w:rFonts w:ascii="Arial" w:eastAsiaTheme="majorEastAsia" w:hAnsi="Arial" w:cs="Arial"/>
                <w:b/>
                <w:bCs/>
                <w:sz w:val="28"/>
                <w:szCs w:val="28"/>
              </w:rPr>
            </w:pPr>
            <w:r w:rsidRPr="0061521E">
              <w:rPr>
                <w:rFonts w:ascii="Arial" w:hAnsi="Arial" w:cs="Arial"/>
              </w:rPr>
              <w:t>Early career academics</w:t>
            </w:r>
          </w:p>
        </w:tc>
      </w:tr>
      <w:tr w:rsidR="0061521E" w:rsidRPr="0061521E" w14:paraId="79C277BF" w14:textId="77777777" w:rsidTr="00544C38">
        <w:tc>
          <w:tcPr>
            <w:tcW w:w="4820" w:type="dxa"/>
          </w:tcPr>
          <w:p w14:paraId="13D6DB51" w14:textId="77777777" w:rsidR="0061521E" w:rsidRDefault="0061521E" w:rsidP="00544C38">
            <w:pPr>
              <w:rPr>
                <w:rFonts w:ascii="Arial" w:hAnsi="Arial" w:cs="Arial"/>
              </w:rPr>
            </w:pPr>
            <w:bookmarkStart w:id="0" w:name="_GoBack"/>
            <w:r w:rsidRPr="0061521E">
              <w:rPr>
                <w:rFonts w:ascii="Arial" w:hAnsi="Arial" w:cs="Arial"/>
              </w:rPr>
              <w:t xml:space="preserve">Demonstrates an understanding of specific aspects of effective teaching, learning support methods and student learning. Individuals should be able to provide evidence of: </w:t>
            </w:r>
          </w:p>
          <w:p w14:paraId="34A85C29" w14:textId="77777777" w:rsidR="0061521E" w:rsidRPr="0061521E" w:rsidRDefault="0061521E" w:rsidP="00544C38">
            <w:pPr>
              <w:rPr>
                <w:rFonts w:ascii="Arial" w:hAnsi="Arial" w:cs="Arial"/>
              </w:rPr>
            </w:pPr>
          </w:p>
          <w:p w14:paraId="39E47167" w14:textId="77777777" w:rsidR="0061521E" w:rsidRDefault="0061521E" w:rsidP="00544C3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  <w:r w:rsidRPr="0061521E">
              <w:rPr>
                <w:rFonts w:ascii="Arial" w:hAnsi="Arial" w:cs="Arial"/>
                <w:szCs w:val="20"/>
              </w:rPr>
              <w:t xml:space="preserve">Successful engagement with at least two of the five Areas of Activity </w:t>
            </w:r>
          </w:p>
          <w:p w14:paraId="0BDF5476" w14:textId="77777777" w:rsidR="0061521E" w:rsidRPr="0061521E" w:rsidRDefault="0061521E" w:rsidP="00544C38">
            <w:pPr>
              <w:rPr>
                <w:rFonts w:ascii="Arial" w:hAnsi="Arial" w:cs="Arial"/>
                <w:szCs w:val="20"/>
              </w:rPr>
            </w:pPr>
          </w:p>
          <w:p w14:paraId="11B7F6C1" w14:textId="77777777" w:rsidR="0061521E" w:rsidRPr="0061521E" w:rsidRDefault="0061521E" w:rsidP="00544C38">
            <w:pPr>
              <w:pStyle w:val="ListParagraph"/>
              <w:numPr>
                <w:ilvl w:val="0"/>
                <w:numId w:val="17"/>
              </w:numPr>
              <w:rPr>
                <w:rFonts w:ascii="Arial" w:eastAsiaTheme="majorEastAsia" w:hAnsi="Arial" w:cs="Arial"/>
                <w:bCs/>
                <w:szCs w:val="20"/>
              </w:rPr>
            </w:pPr>
            <w:r w:rsidRPr="0061521E">
              <w:rPr>
                <w:rFonts w:ascii="Arial" w:hAnsi="Arial" w:cs="Arial"/>
                <w:szCs w:val="20"/>
              </w:rPr>
              <w:t xml:space="preserve">Successful engagement in appropriate teaching and practices related to these Areas of Activity </w:t>
            </w:r>
          </w:p>
          <w:p w14:paraId="59821351" w14:textId="77777777" w:rsidR="0061521E" w:rsidRPr="0061521E" w:rsidRDefault="0061521E" w:rsidP="00544C38">
            <w:pPr>
              <w:pStyle w:val="ListParagraph"/>
              <w:rPr>
                <w:rFonts w:ascii="Arial" w:eastAsiaTheme="majorEastAsia" w:hAnsi="Arial" w:cs="Arial"/>
                <w:bCs/>
                <w:szCs w:val="20"/>
              </w:rPr>
            </w:pPr>
          </w:p>
          <w:p w14:paraId="6E2BF605" w14:textId="77777777" w:rsidR="0061521E" w:rsidRPr="0061521E" w:rsidRDefault="0061521E" w:rsidP="00544C38">
            <w:pPr>
              <w:rPr>
                <w:rFonts w:ascii="Arial" w:eastAsiaTheme="majorEastAsia" w:hAnsi="Arial" w:cs="Arial"/>
                <w:bCs/>
                <w:szCs w:val="20"/>
              </w:rPr>
            </w:pPr>
          </w:p>
          <w:p w14:paraId="278A17BA" w14:textId="77777777" w:rsidR="0061521E" w:rsidRPr="002C30A8" w:rsidRDefault="0061521E" w:rsidP="00544C38">
            <w:pPr>
              <w:pStyle w:val="ListParagraph"/>
              <w:numPr>
                <w:ilvl w:val="0"/>
                <w:numId w:val="17"/>
              </w:numPr>
              <w:rPr>
                <w:rFonts w:ascii="Arial" w:eastAsiaTheme="majorEastAsia" w:hAnsi="Arial" w:cs="Arial"/>
                <w:bCs/>
                <w:szCs w:val="20"/>
              </w:rPr>
            </w:pPr>
            <w:r w:rsidRPr="0061521E">
              <w:rPr>
                <w:rFonts w:ascii="Arial" w:hAnsi="Arial" w:cs="Arial"/>
                <w:szCs w:val="20"/>
              </w:rPr>
              <w:t xml:space="preserve">Appropriate Core Knowledge and understanding of at least K1 and K2 </w:t>
            </w:r>
          </w:p>
          <w:p w14:paraId="20CA07A4" w14:textId="77777777" w:rsidR="002C30A8" w:rsidRPr="002C30A8" w:rsidRDefault="002C30A8" w:rsidP="002C30A8">
            <w:pPr>
              <w:rPr>
                <w:rFonts w:ascii="Arial" w:eastAsiaTheme="majorEastAsia" w:hAnsi="Arial" w:cs="Arial"/>
                <w:bCs/>
                <w:szCs w:val="20"/>
              </w:rPr>
            </w:pPr>
          </w:p>
          <w:p w14:paraId="2912F0DB" w14:textId="2B7774D6" w:rsidR="0061521E" w:rsidRPr="0061521E" w:rsidRDefault="0061521E" w:rsidP="00544C38">
            <w:pPr>
              <w:pStyle w:val="ListParagraph"/>
              <w:numPr>
                <w:ilvl w:val="0"/>
                <w:numId w:val="17"/>
              </w:numPr>
              <w:rPr>
                <w:rFonts w:ascii="Arial" w:eastAsiaTheme="majorEastAsia" w:hAnsi="Arial" w:cs="Arial"/>
                <w:bCs/>
                <w:szCs w:val="20"/>
              </w:rPr>
            </w:pPr>
            <w:r w:rsidRPr="0061521E">
              <w:rPr>
                <w:rFonts w:ascii="Arial" w:hAnsi="Arial" w:cs="Arial"/>
                <w:szCs w:val="20"/>
              </w:rPr>
              <w:t xml:space="preserve">A commitment to appropriate Professional Values in facilitating others’ learning </w:t>
            </w:r>
          </w:p>
          <w:p w14:paraId="56AED28E" w14:textId="77777777" w:rsidR="0061521E" w:rsidRPr="0061521E" w:rsidRDefault="0061521E" w:rsidP="00544C38">
            <w:pPr>
              <w:rPr>
                <w:rFonts w:ascii="Arial" w:eastAsiaTheme="majorEastAsia" w:hAnsi="Arial" w:cs="Arial"/>
                <w:bCs/>
                <w:szCs w:val="20"/>
              </w:rPr>
            </w:pPr>
          </w:p>
          <w:p w14:paraId="0BD078FE" w14:textId="77777777" w:rsidR="0061521E" w:rsidRPr="0061521E" w:rsidRDefault="0061521E" w:rsidP="00544C38">
            <w:pPr>
              <w:pStyle w:val="ListParagraph"/>
              <w:numPr>
                <w:ilvl w:val="0"/>
                <w:numId w:val="17"/>
              </w:numPr>
              <w:rPr>
                <w:rFonts w:ascii="Arial" w:eastAsiaTheme="majorEastAsia" w:hAnsi="Arial" w:cs="Arial"/>
                <w:bCs/>
                <w:szCs w:val="20"/>
              </w:rPr>
            </w:pPr>
            <w:r w:rsidRPr="0061521E">
              <w:rPr>
                <w:rFonts w:ascii="Arial" w:hAnsi="Arial" w:cs="Arial"/>
                <w:szCs w:val="20"/>
              </w:rPr>
              <w:t xml:space="preserve">Relevant professional practices, subject and pedagogic research and/or scholarship within the above activities </w:t>
            </w:r>
          </w:p>
          <w:p w14:paraId="57BE4EDC" w14:textId="77777777" w:rsidR="0061521E" w:rsidRPr="0061521E" w:rsidRDefault="0061521E" w:rsidP="00544C38">
            <w:pPr>
              <w:pStyle w:val="ListParagraph"/>
              <w:rPr>
                <w:rFonts w:ascii="Arial" w:eastAsiaTheme="majorEastAsia" w:hAnsi="Arial" w:cs="Arial"/>
                <w:bCs/>
                <w:szCs w:val="20"/>
              </w:rPr>
            </w:pPr>
          </w:p>
          <w:p w14:paraId="3AE43CAB" w14:textId="77777777" w:rsidR="0061521E" w:rsidRPr="0061521E" w:rsidRDefault="0061521E" w:rsidP="00544C38">
            <w:pPr>
              <w:rPr>
                <w:rFonts w:ascii="Arial" w:eastAsiaTheme="majorEastAsia" w:hAnsi="Arial" w:cs="Arial"/>
                <w:bCs/>
                <w:szCs w:val="20"/>
              </w:rPr>
            </w:pPr>
          </w:p>
          <w:p w14:paraId="60F8316E" w14:textId="77777777" w:rsidR="0061521E" w:rsidRPr="0061521E" w:rsidRDefault="0061521E" w:rsidP="00544C38">
            <w:pPr>
              <w:pStyle w:val="ListParagraph"/>
              <w:numPr>
                <w:ilvl w:val="0"/>
                <w:numId w:val="17"/>
              </w:numPr>
              <w:rPr>
                <w:rFonts w:ascii="Arial" w:eastAsiaTheme="majorEastAsia" w:hAnsi="Arial" w:cs="Arial"/>
                <w:b/>
                <w:bCs/>
                <w:sz w:val="28"/>
                <w:szCs w:val="28"/>
              </w:rPr>
            </w:pPr>
            <w:r w:rsidRPr="0061521E">
              <w:rPr>
                <w:rFonts w:ascii="Arial" w:hAnsi="Arial" w:cs="Arial"/>
                <w:szCs w:val="20"/>
              </w:rPr>
              <w:t>Successful engagement, where appropriate, in professional development activity related to teaching, learning and assessment responsibilities</w:t>
            </w:r>
          </w:p>
          <w:p w14:paraId="2C8D237A" w14:textId="77777777" w:rsidR="0061521E" w:rsidRPr="0061521E" w:rsidRDefault="0061521E" w:rsidP="00544C38">
            <w:pPr>
              <w:rPr>
                <w:rFonts w:ascii="Arial" w:eastAsiaTheme="majorEastAsia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068" w:type="dxa"/>
          </w:tcPr>
          <w:p w14:paraId="3D96C2FB" w14:textId="77777777" w:rsidR="0061521E" w:rsidRDefault="0061521E" w:rsidP="00544C38">
            <w:pPr>
              <w:rPr>
                <w:rFonts w:ascii="Arial" w:hAnsi="Arial" w:cs="Arial"/>
                <w:szCs w:val="20"/>
              </w:rPr>
            </w:pPr>
            <w:r w:rsidRPr="0061521E">
              <w:rPr>
                <w:rFonts w:ascii="Arial" w:hAnsi="Arial" w:cs="Arial"/>
                <w:szCs w:val="20"/>
              </w:rPr>
              <w:t xml:space="preserve">Demonstrates a broad understanding of effective approaches to teaching and learning support as key contributions to high quality student learning. Individuals should be able to provide evidence of: </w:t>
            </w:r>
          </w:p>
          <w:p w14:paraId="5BC2F1D8" w14:textId="77777777" w:rsidR="0061521E" w:rsidRPr="0061521E" w:rsidRDefault="0061521E" w:rsidP="00544C38">
            <w:pPr>
              <w:rPr>
                <w:rFonts w:ascii="Arial" w:hAnsi="Arial" w:cs="Arial"/>
                <w:szCs w:val="20"/>
              </w:rPr>
            </w:pPr>
          </w:p>
          <w:p w14:paraId="60C4E36D" w14:textId="77777777" w:rsidR="0061521E" w:rsidRDefault="0061521E" w:rsidP="00544C3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Cs w:val="20"/>
              </w:rPr>
            </w:pPr>
            <w:r w:rsidRPr="0061521E">
              <w:rPr>
                <w:rFonts w:ascii="Arial" w:hAnsi="Arial" w:cs="Arial"/>
                <w:szCs w:val="20"/>
              </w:rPr>
              <w:t xml:space="preserve">Successful engagement across all five Areas of Activity </w:t>
            </w:r>
          </w:p>
          <w:p w14:paraId="7C55C561" w14:textId="77777777" w:rsidR="0061521E" w:rsidRPr="0061521E" w:rsidRDefault="0061521E" w:rsidP="00544C38">
            <w:pPr>
              <w:rPr>
                <w:rFonts w:ascii="Arial" w:hAnsi="Arial" w:cs="Arial"/>
                <w:szCs w:val="20"/>
              </w:rPr>
            </w:pPr>
          </w:p>
          <w:p w14:paraId="018212F4" w14:textId="77777777" w:rsidR="0061521E" w:rsidRDefault="0061521E" w:rsidP="00544C3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Cs w:val="20"/>
              </w:rPr>
            </w:pPr>
            <w:r w:rsidRPr="0061521E">
              <w:rPr>
                <w:rFonts w:ascii="Arial" w:hAnsi="Arial" w:cs="Arial"/>
                <w:szCs w:val="20"/>
              </w:rPr>
              <w:t xml:space="preserve">Appropriate knowledge and understanding across all aspects of Core Knowledge </w:t>
            </w:r>
          </w:p>
          <w:p w14:paraId="761DBFBA" w14:textId="77777777" w:rsidR="0061521E" w:rsidRPr="0061521E" w:rsidRDefault="0061521E" w:rsidP="00544C38">
            <w:pPr>
              <w:pStyle w:val="ListParagraph"/>
              <w:rPr>
                <w:rFonts w:ascii="Arial" w:hAnsi="Arial" w:cs="Arial"/>
                <w:szCs w:val="20"/>
              </w:rPr>
            </w:pPr>
          </w:p>
          <w:p w14:paraId="6E513F66" w14:textId="77777777" w:rsidR="0061521E" w:rsidRPr="0061521E" w:rsidRDefault="0061521E" w:rsidP="00544C38">
            <w:pPr>
              <w:rPr>
                <w:rFonts w:ascii="Arial" w:hAnsi="Arial" w:cs="Arial"/>
                <w:szCs w:val="20"/>
              </w:rPr>
            </w:pPr>
          </w:p>
          <w:p w14:paraId="3DFA28F6" w14:textId="77777777" w:rsidR="0061521E" w:rsidRDefault="0061521E" w:rsidP="00544C3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Cs w:val="20"/>
              </w:rPr>
            </w:pPr>
            <w:r w:rsidRPr="0061521E">
              <w:rPr>
                <w:rFonts w:ascii="Arial" w:hAnsi="Arial" w:cs="Arial"/>
                <w:szCs w:val="20"/>
              </w:rPr>
              <w:t xml:space="preserve">A commitment to all the Professional Values </w:t>
            </w:r>
          </w:p>
          <w:p w14:paraId="4102376A" w14:textId="77777777" w:rsidR="0061521E" w:rsidRPr="0061521E" w:rsidRDefault="0061521E" w:rsidP="00544C38">
            <w:pPr>
              <w:rPr>
                <w:rFonts w:ascii="Arial" w:hAnsi="Arial" w:cs="Arial"/>
                <w:szCs w:val="20"/>
              </w:rPr>
            </w:pPr>
          </w:p>
          <w:p w14:paraId="0D14B361" w14:textId="77777777" w:rsidR="0061521E" w:rsidRDefault="0061521E" w:rsidP="00544C3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Cs w:val="20"/>
              </w:rPr>
            </w:pPr>
            <w:r w:rsidRPr="0061521E">
              <w:rPr>
                <w:rFonts w:ascii="Arial" w:hAnsi="Arial" w:cs="Arial"/>
                <w:szCs w:val="20"/>
              </w:rPr>
              <w:t xml:space="preserve">Successful engagement in appropriate teaching practices related to the Areas of Activity </w:t>
            </w:r>
          </w:p>
          <w:p w14:paraId="6E3249DB" w14:textId="77777777" w:rsidR="0061521E" w:rsidRPr="0061521E" w:rsidRDefault="0061521E" w:rsidP="00544C38">
            <w:pPr>
              <w:pStyle w:val="ListParagraph"/>
              <w:rPr>
                <w:rFonts w:ascii="Arial" w:hAnsi="Arial" w:cs="Arial"/>
                <w:szCs w:val="20"/>
              </w:rPr>
            </w:pPr>
          </w:p>
          <w:p w14:paraId="1A484A8D" w14:textId="77777777" w:rsidR="0061521E" w:rsidRPr="0061521E" w:rsidRDefault="0061521E" w:rsidP="00544C38">
            <w:pPr>
              <w:rPr>
                <w:rFonts w:ascii="Arial" w:hAnsi="Arial" w:cs="Arial"/>
                <w:szCs w:val="20"/>
              </w:rPr>
            </w:pPr>
          </w:p>
          <w:p w14:paraId="6260BD97" w14:textId="77777777" w:rsidR="0061521E" w:rsidRDefault="0061521E" w:rsidP="00544C3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Cs w:val="20"/>
              </w:rPr>
            </w:pPr>
            <w:r w:rsidRPr="0061521E">
              <w:rPr>
                <w:rFonts w:ascii="Arial" w:hAnsi="Arial" w:cs="Arial"/>
                <w:szCs w:val="20"/>
              </w:rPr>
              <w:t xml:space="preserve">Successful incorporation of subject and pedagogic research and/ or scholarship within the above activities, as part of an integrated approach to academic practice </w:t>
            </w:r>
          </w:p>
          <w:p w14:paraId="345636CD" w14:textId="77777777" w:rsidR="0061521E" w:rsidRPr="0061521E" w:rsidRDefault="0061521E" w:rsidP="00544C38">
            <w:pPr>
              <w:rPr>
                <w:rFonts w:ascii="Arial" w:hAnsi="Arial" w:cs="Arial"/>
                <w:szCs w:val="20"/>
              </w:rPr>
            </w:pPr>
          </w:p>
          <w:p w14:paraId="6A81345B" w14:textId="77777777" w:rsidR="0061521E" w:rsidRPr="0061521E" w:rsidRDefault="0061521E" w:rsidP="00544C38">
            <w:pPr>
              <w:pStyle w:val="ListParagraph"/>
              <w:numPr>
                <w:ilvl w:val="0"/>
                <w:numId w:val="18"/>
              </w:numPr>
              <w:rPr>
                <w:rFonts w:ascii="Arial" w:eastAsiaTheme="majorEastAsia" w:hAnsi="Arial" w:cs="Arial"/>
                <w:b/>
                <w:bCs/>
                <w:sz w:val="28"/>
                <w:szCs w:val="28"/>
              </w:rPr>
            </w:pPr>
            <w:r w:rsidRPr="0061521E">
              <w:rPr>
                <w:rFonts w:ascii="Arial" w:hAnsi="Arial" w:cs="Arial"/>
                <w:szCs w:val="20"/>
              </w:rPr>
              <w:t>Successful engagement in continuing professional development in relation to teaching, learning, assessment and, where appropriate, related professional practices</w:t>
            </w:r>
          </w:p>
        </w:tc>
      </w:tr>
      <w:bookmarkEnd w:id="0"/>
    </w:tbl>
    <w:p w14:paraId="7CBE02A2" w14:textId="77777777" w:rsidR="0061521E" w:rsidRDefault="0061521E">
      <w:pPr>
        <w:ind w:left="924" w:hanging="357"/>
        <w:rPr>
          <w:rFonts w:eastAsiaTheme="majorEastAsia" w:cstheme="majorBidi"/>
          <w:b/>
          <w:bCs/>
          <w:sz w:val="28"/>
          <w:szCs w:val="28"/>
        </w:rPr>
      </w:pPr>
    </w:p>
    <w:p w14:paraId="0A4A0C26" w14:textId="025212C6" w:rsidR="00262CE5" w:rsidRDefault="00E336A1" w:rsidP="00E336A1">
      <w:pPr>
        <w:pStyle w:val="Heading1"/>
        <w:tabs>
          <w:tab w:val="left" w:pos="851"/>
        </w:tabs>
        <w:ind w:left="851" w:hanging="851"/>
      </w:pPr>
      <w:r>
        <w:lastRenderedPageBreak/>
        <w:t>A1:</w:t>
      </w:r>
      <w:r>
        <w:tab/>
        <w:t>Design and plan learning activities and/or programmes of study</w:t>
      </w:r>
    </w:p>
    <w:p w14:paraId="0A4A0C27" w14:textId="77777777" w:rsidR="00E336A1" w:rsidRDefault="00E336A1" w:rsidP="00E336A1">
      <w:pPr>
        <w:pStyle w:val="Heading2"/>
      </w:pPr>
      <w:r>
        <w:t>Ideas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E336A1" w14:paraId="0A4A0C29" w14:textId="77777777" w:rsidTr="00511C5D">
        <w:trPr>
          <w:trHeight w:val="7144"/>
        </w:trPr>
        <w:tc>
          <w:tcPr>
            <w:tcW w:w="5000" w:type="pct"/>
          </w:tcPr>
          <w:p w14:paraId="0A4A0C28" w14:textId="77777777" w:rsidR="00E336A1" w:rsidRDefault="00E336A1" w:rsidP="00E336A1"/>
        </w:tc>
      </w:tr>
    </w:tbl>
    <w:p w14:paraId="0A4A0C2A" w14:textId="77777777" w:rsidR="00E336A1" w:rsidRDefault="00E336A1" w:rsidP="00E336A1">
      <w:pPr>
        <w:pStyle w:val="Heading3"/>
      </w:pPr>
      <w:r>
        <w:t>Core Knowledge</w:t>
      </w:r>
    </w:p>
    <w:p w14:paraId="0A4A0C2B" w14:textId="77777777" w:rsidR="00E336A1" w:rsidRDefault="00E336A1" w:rsidP="00E336A1">
      <w:pPr>
        <w:pStyle w:val="ListParagraph"/>
        <w:numPr>
          <w:ilvl w:val="0"/>
          <w:numId w:val="1"/>
        </w:numPr>
      </w:pPr>
      <w:r>
        <w:t>The subject material</w:t>
      </w:r>
    </w:p>
    <w:p w14:paraId="0A4A0C2C" w14:textId="77777777" w:rsidR="00E336A1" w:rsidRDefault="00E336A1" w:rsidP="00E336A1">
      <w:pPr>
        <w:pStyle w:val="ListParagraph"/>
        <w:numPr>
          <w:ilvl w:val="0"/>
          <w:numId w:val="1"/>
        </w:numPr>
      </w:pPr>
      <w:r>
        <w:t>Appropriate methods for teaching and learning in the subject area and at the level of the academic programme</w:t>
      </w:r>
    </w:p>
    <w:p w14:paraId="0A4A0C2D" w14:textId="77777777" w:rsidR="00E336A1" w:rsidRDefault="00E336A1" w:rsidP="00E336A1">
      <w:pPr>
        <w:pStyle w:val="ListParagraph"/>
        <w:numPr>
          <w:ilvl w:val="0"/>
          <w:numId w:val="1"/>
        </w:numPr>
      </w:pPr>
      <w:r>
        <w:t>How students learn, both generally and within their subject/disciplinary area(s)</w:t>
      </w:r>
    </w:p>
    <w:p w14:paraId="0A4A0C2E" w14:textId="77777777" w:rsidR="00E336A1" w:rsidRDefault="00E336A1" w:rsidP="00E336A1">
      <w:pPr>
        <w:pStyle w:val="ListParagraph"/>
        <w:numPr>
          <w:ilvl w:val="0"/>
          <w:numId w:val="1"/>
        </w:numPr>
      </w:pPr>
      <w:r>
        <w:t>The use and value of appropriate learning technologies</w:t>
      </w:r>
    </w:p>
    <w:p w14:paraId="0A4A0C2F" w14:textId="77777777" w:rsidR="00E336A1" w:rsidRDefault="00E336A1" w:rsidP="00E336A1">
      <w:pPr>
        <w:pStyle w:val="ListParagraph"/>
        <w:numPr>
          <w:ilvl w:val="0"/>
          <w:numId w:val="1"/>
        </w:numPr>
      </w:pPr>
      <w:r>
        <w:t>Methods for evaluating the effectiveness of teaching</w:t>
      </w:r>
    </w:p>
    <w:p w14:paraId="0A4A0C30" w14:textId="77777777" w:rsidR="00E336A1" w:rsidRDefault="00E336A1" w:rsidP="00E336A1">
      <w:pPr>
        <w:pStyle w:val="ListParagraph"/>
        <w:numPr>
          <w:ilvl w:val="0"/>
          <w:numId w:val="1"/>
        </w:numPr>
      </w:pPr>
      <w:r>
        <w:t>The implications of quality assurance and quality enhancement for academic and professional practice with a particular focus on teaching</w:t>
      </w:r>
    </w:p>
    <w:p w14:paraId="0A4A0C31" w14:textId="77777777" w:rsidR="00E336A1" w:rsidRDefault="00E336A1" w:rsidP="00E336A1">
      <w:pPr>
        <w:pStyle w:val="Heading3"/>
      </w:pPr>
      <w:r>
        <w:t>Professional Values</w:t>
      </w:r>
    </w:p>
    <w:p w14:paraId="0A4A0C32" w14:textId="77777777" w:rsidR="00E336A1" w:rsidRDefault="00E336A1" w:rsidP="00E336A1">
      <w:pPr>
        <w:pStyle w:val="ListParagraph"/>
        <w:numPr>
          <w:ilvl w:val="0"/>
          <w:numId w:val="2"/>
        </w:numPr>
      </w:pPr>
      <w:r>
        <w:t>Respect individual learners and diverse learning communities</w:t>
      </w:r>
    </w:p>
    <w:p w14:paraId="0A4A0C33" w14:textId="77777777" w:rsidR="00E336A1" w:rsidRDefault="00E336A1" w:rsidP="00E336A1">
      <w:pPr>
        <w:pStyle w:val="ListParagraph"/>
        <w:numPr>
          <w:ilvl w:val="0"/>
          <w:numId w:val="2"/>
        </w:numPr>
      </w:pPr>
      <w:r>
        <w:t>Promote participation in higher education and equality of opportunity for learners</w:t>
      </w:r>
    </w:p>
    <w:p w14:paraId="0A4A0C34" w14:textId="77777777" w:rsidR="00E336A1" w:rsidRDefault="00E336A1" w:rsidP="00E336A1">
      <w:pPr>
        <w:pStyle w:val="ListParagraph"/>
        <w:numPr>
          <w:ilvl w:val="0"/>
          <w:numId w:val="2"/>
        </w:numPr>
      </w:pPr>
      <w:r>
        <w:t>Use evidence-informed approaches and the outcomes from research, scholarship and continuing professional development</w:t>
      </w:r>
    </w:p>
    <w:p w14:paraId="0A4A0C35" w14:textId="77777777" w:rsidR="00E336A1" w:rsidRDefault="00E336A1" w:rsidP="00E336A1">
      <w:pPr>
        <w:pStyle w:val="ListParagraph"/>
        <w:numPr>
          <w:ilvl w:val="0"/>
          <w:numId w:val="2"/>
        </w:numPr>
      </w:pPr>
      <w:r>
        <w:t>Acknowledge the wider context in which higher education operates recognising the implications for professional practice</w:t>
      </w:r>
    </w:p>
    <w:p w14:paraId="0A4A0C36" w14:textId="77777777" w:rsidR="00E336A1" w:rsidRDefault="00E336A1" w:rsidP="00E336A1">
      <w:pPr>
        <w:pStyle w:val="Heading1"/>
        <w:tabs>
          <w:tab w:val="left" w:pos="851"/>
        </w:tabs>
        <w:ind w:left="851" w:hanging="851"/>
      </w:pPr>
      <w:r>
        <w:lastRenderedPageBreak/>
        <w:t>A2:</w:t>
      </w:r>
      <w:r>
        <w:tab/>
        <w:t>Teach and/or support learning</w:t>
      </w:r>
    </w:p>
    <w:p w14:paraId="0A4A0C37" w14:textId="77777777" w:rsidR="00E336A1" w:rsidRDefault="00E336A1" w:rsidP="00E336A1">
      <w:pPr>
        <w:pStyle w:val="Heading2"/>
      </w:pPr>
      <w:r>
        <w:t>Ideas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E336A1" w14:paraId="0A4A0C39" w14:textId="77777777" w:rsidTr="00511C5D">
        <w:trPr>
          <w:trHeight w:val="7788"/>
        </w:trPr>
        <w:tc>
          <w:tcPr>
            <w:tcW w:w="5000" w:type="pct"/>
          </w:tcPr>
          <w:p w14:paraId="0A4A0C38" w14:textId="77777777" w:rsidR="00E336A1" w:rsidRDefault="00E336A1" w:rsidP="00F769F3"/>
        </w:tc>
      </w:tr>
    </w:tbl>
    <w:p w14:paraId="0A4A0C3A" w14:textId="77777777" w:rsidR="00E336A1" w:rsidRDefault="00E336A1" w:rsidP="00E336A1">
      <w:pPr>
        <w:pStyle w:val="Heading3"/>
      </w:pPr>
      <w:r>
        <w:t>Core Knowledge</w:t>
      </w:r>
    </w:p>
    <w:p w14:paraId="0A4A0C3B" w14:textId="77777777" w:rsidR="00E336A1" w:rsidRDefault="00E336A1" w:rsidP="00E336A1">
      <w:pPr>
        <w:pStyle w:val="ListParagraph"/>
        <w:numPr>
          <w:ilvl w:val="0"/>
          <w:numId w:val="5"/>
        </w:numPr>
      </w:pPr>
      <w:r>
        <w:t>The subject material</w:t>
      </w:r>
    </w:p>
    <w:p w14:paraId="0A4A0C3C" w14:textId="77777777" w:rsidR="00E336A1" w:rsidRDefault="00E336A1" w:rsidP="00E336A1">
      <w:pPr>
        <w:pStyle w:val="ListParagraph"/>
        <w:numPr>
          <w:ilvl w:val="0"/>
          <w:numId w:val="5"/>
        </w:numPr>
      </w:pPr>
      <w:r>
        <w:t>Appropriate methods for teaching and learning in the subject area and at the level of the academic programme</w:t>
      </w:r>
    </w:p>
    <w:p w14:paraId="0A4A0C3D" w14:textId="77777777" w:rsidR="00E336A1" w:rsidRDefault="00E336A1" w:rsidP="00E336A1">
      <w:pPr>
        <w:pStyle w:val="ListParagraph"/>
        <w:numPr>
          <w:ilvl w:val="0"/>
          <w:numId w:val="5"/>
        </w:numPr>
      </w:pPr>
      <w:r>
        <w:t>How students learn, both generally and within their subject/disciplinary area(s)</w:t>
      </w:r>
    </w:p>
    <w:p w14:paraId="0A4A0C3E" w14:textId="77777777" w:rsidR="00E336A1" w:rsidRDefault="00E336A1" w:rsidP="00E336A1">
      <w:pPr>
        <w:pStyle w:val="ListParagraph"/>
        <w:numPr>
          <w:ilvl w:val="0"/>
          <w:numId w:val="5"/>
        </w:numPr>
      </w:pPr>
      <w:r>
        <w:t>The use and value of appropriate learning technologies</w:t>
      </w:r>
    </w:p>
    <w:p w14:paraId="0A4A0C3F" w14:textId="77777777" w:rsidR="00E336A1" w:rsidRDefault="00E336A1" w:rsidP="00E336A1">
      <w:pPr>
        <w:pStyle w:val="ListParagraph"/>
        <w:numPr>
          <w:ilvl w:val="0"/>
          <w:numId w:val="5"/>
        </w:numPr>
      </w:pPr>
      <w:r>
        <w:t>Methods for evaluating the effectiveness of teaching</w:t>
      </w:r>
    </w:p>
    <w:p w14:paraId="0A4A0C40" w14:textId="77777777" w:rsidR="00E336A1" w:rsidRDefault="00E336A1" w:rsidP="00E336A1">
      <w:pPr>
        <w:pStyle w:val="ListParagraph"/>
        <w:numPr>
          <w:ilvl w:val="0"/>
          <w:numId w:val="5"/>
        </w:numPr>
      </w:pPr>
      <w:r>
        <w:t>The implications of quality assurance and quality enhancement for academic and professional practice with a particular focus on teaching</w:t>
      </w:r>
    </w:p>
    <w:p w14:paraId="0A4A0C41" w14:textId="77777777" w:rsidR="00E336A1" w:rsidRDefault="00E336A1" w:rsidP="00E336A1">
      <w:pPr>
        <w:pStyle w:val="Heading3"/>
      </w:pPr>
      <w:r>
        <w:t>Professional Values</w:t>
      </w:r>
    </w:p>
    <w:p w14:paraId="0A4A0C42" w14:textId="77777777" w:rsidR="00E336A1" w:rsidRDefault="00E336A1" w:rsidP="00E336A1">
      <w:pPr>
        <w:pStyle w:val="ListParagraph"/>
        <w:numPr>
          <w:ilvl w:val="0"/>
          <w:numId w:val="6"/>
        </w:numPr>
      </w:pPr>
      <w:r>
        <w:t>Respect individual learners and diverse learning communities</w:t>
      </w:r>
    </w:p>
    <w:p w14:paraId="0A4A0C43" w14:textId="77777777" w:rsidR="00E336A1" w:rsidRDefault="00E336A1" w:rsidP="00E336A1">
      <w:pPr>
        <w:pStyle w:val="ListParagraph"/>
        <w:numPr>
          <w:ilvl w:val="0"/>
          <w:numId w:val="6"/>
        </w:numPr>
      </w:pPr>
      <w:r>
        <w:t>Promote participation in higher education and equality of opportunity for learners</w:t>
      </w:r>
    </w:p>
    <w:p w14:paraId="0A4A0C44" w14:textId="77777777" w:rsidR="00E336A1" w:rsidRDefault="00E336A1" w:rsidP="00E336A1">
      <w:pPr>
        <w:pStyle w:val="ListParagraph"/>
        <w:numPr>
          <w:ilvl w:val="0"/>
          <w:numId w:val="6"/>
        </w:numPr>
      </w:pPr>
      <w:r>
        <w:t>Use evidence-informed approaches and the outcomes from research, scholarship and continuing professional development</w:t>
      </w:r>
    </w:p>
    <w:p w14:paraId="0A4A0C45" w14:textId="77777777" w:rsidR="00E336A1" w:rsidRDefault="00E336A1" w:rsidP="00E336A1">
      <w:pPr>
        <w:pStyle w:val="ListParagraph"/>
        <w:numPr>
          <w:ilvl w:val="0"/>
          <w:numId w:val="6"/>
        </w:numPr>
      </w:pPr>
      <w:r>
        <w:t>Acknowledge the wider context in which higher education operates recognising the implications for professional practice</w:t>
      </w:r>
    </w:p>
    <w:p w14:paraId="0A4A0C46" w14:textId="77777777" w:rsidR="00E336A1" w:rsidRDefault="00E336A1" w:rsidP="00E336A1">
      <w:pPr>
        <w:pStyle w:val="Heading1"/>
        <w:tabs>
          <w:tab w:val="left" w:pos="851"/>
        </w:tabs>
        <w:ind w:left="851" w:hanging="851"/>
      </w:pPr>
      <w:r>
        <w:lastRenderedPageBreak/>
        <w:t>A3:</w:t>
      </w:r>
      <w:r>
        <w:tab/>
        <w:t>Assess and give feedback to learners</w:t>
      </w:r>
    </w:p>
    <w:p w14:paraId="0A4A0C47" w14:textId="77777777" w:rsidR="00E336A1" w:rsidRDefault="00E336A1" w:rsidP="00E336A1">
      <w:pPr>
        <w:pStyle w:val="Heading2"/>
      </w:pPr>
      <w:r>
        <w:t>Ideas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E336A1" w14:paraId="0A4A0C49" w14:textId="77777777" w:rsidTr="00511C5D">
        <w:trPr>
          <w:trHeight w:val="7647"/>
        </w:trPr>
        <w:tc>
          <w:tcPr>
            <w:tcW w:w="5000" w:type="pct"/>
          </w:tcPr>
          <w:p w14:paraId="0A4A0C48" w14:textId="77777777" w:rsidR="00E336A1" w:rsidRDefault="00E336A1" w:rsidP="00F769F3"/>
        </w:tc>
      </w:tr>
    </w:tbl>
    <w:p w14:paraId="0A4A0C4A" w14:textId="77777777" w:rsidR="00E336A1" w:rsidRDefault="00E336A1" w:rsidP="00E336A1">
      <w:pPr>
        <w:pStyle w:val="Heading3"/>
      </w:pPr>
      <w:r>
        <w:t>Core Knowledge</w:t>
      </w:r>
    </w:p>
    <w:p w14:paraId="0A4A0C4B" w14:textId="77777777" w:rsidR="00E336A1" w:rsidRDefault="00E336A1" w:rsidP="00E336A1">
      <w:pPr>
        <w:pStyle w:val="ListParagraph"/>
        <w:numPr>
          <w:ilvl w:val="0"/>
          <w:numId w:val="7"/>
        </w:numPr>
      </w:pPr>
      <w:r>
        <w:t>The subject material</w:t>
      </w:r>
    </w:p>
    <w:p w14:paraId="0A4A0C4C" w14:textId="77777777" w:rsidR="00E336A1" w:rsidRDefault="00E336A1" w:rsidP="00E336A1">
      <w:pPr>
        <w:pStyle w:val="ListParagraph"/>
        <w:numPr>
          <w:ilvl w:val="0"/>
          <w:numId w:val="7"/>
        </w:numPr>
      </w:pPr>
      <w:r>
        <w:t>Appropriate methods for teaching and learning in the subject area and at the level of the academic programme</w:t>
      </w:r>
    </w:p>
    <w:p w14:paraId="0A4A0C4D" w14:textId="77777777" w:rsidR="00E336A1" w:rsidRDefault="00E336A1" w:rsidP="00E336A1">
      <w:pPr>
        <w:pStyle w:val="ListParagraph"/>
        <w:numPr>
          <w:ilvl w:val="0"/>
          <w:numId w:val="7"/>
        </w:numPr>
      </w:pPr>
      <w:r>
        <w:t>How students learn, both generally and within their subject/disciplinary area(s)</w:t>
      </w:r>
    </w:p>
    <w:p w14:paraId="0A4A0C4E" w14:textId="77777777" w:rsidR="00E336A1" w:rsidRDefault="00E336A1" w:rsidP="00E336A1">
      <w:pPr>
        <w:pStyle w:val="ListParagraph"/>
        <w:numPr>
          <w:ilvl w:val="0"/>
          <w:numId w:val="7"/>
        </w:numPr>
      </w:pPr>
      <w:r>
        <w:t>The use and value of appropriate learning technologies</w:t>
      </w:r>
    </w:p>
    <w:p w14:paraId="0A4A0C4F" w14:textId="77777777" w:rsidR="00E336A1" w:rsidRDefault="00E336A1" w:rsidP="00E336A1">
      <w:pPr>
        <w:pStyle w:val="ListParagraph"/>
        <w:numPr>
          <w:ilvl w:val="0"/>
          <w:numId w:val="7"/>
        </w:numPr>
      </w:pPr>
      <w:r>
        <w:t>Methods for evaluating the effectiveness of teaching</w:t>
      </w:r>
    </w:p>
    <w:p w14:paraId="0A4A0C50" w14:textId="77777777" w:rsidR="00E336A1" w:rsidRDefault="00E336A1" w:rsidP="00E336A1">
      <w:pPr>
        <w:pStyle w:val="ListParagraph"/>
        <w:numPr>
          <w:ilvl w:val="0"/>
          <w:numId w:val="7"/>
        </w:numPr>
      </w:pPr>
      <w:r>
        <w:t>The implications of quality assurance and quality enhancement for academic and professional practice with a particular focus on teaching</w:t>
      </w:r>
    </w:p>
    <w:p w14:paraId="0A4A0C51" w14:textId="77777777" w:rsidR="00E336A1" w:rsidRDefault="00E336A1" w:rsidP="00E336A1">
      <w:pPr>
        <w:pStyle w:val="Heading3"/>
      </w:pPr>
      <w:r>
        <w:t>Professional Values</w:t>
      </w:r>
    </w:p>
    <w:p w14:paraId="0A4A0C52" w14:textId="77777777" w:rsidR="00E336A1" w:rsidRDefault="00E336A1" w:rsidP="00E336A1">
      <w:pPr>
        <w:pStyle w:val="ListParagraph"/>
        <w:numPr>
          <w:ilvl w:val="0"/>
          <w:numId w:val="8"/>
        </w:numPr>
      </w:pPr>
      <w:r>
        <w:t>Respect individual learners and diverse learning communities</w:t>
      </w:r>
    </w:p>
    <w:p w14:paraId="0A4A0C53" w14:textId="77777777" w:rsidR="00E336A1" w:rsidRDefault="00E336A1" w:rsidP="00E336A1">
      <w:pPr>
        <w:pStyle w:val="ListParagraph"/>
        <w:numPr>
          <w:ilvl w:val="0"/>
          <w:numId w:val="8"/>
        </w:numPr>
      </w:pPr>
      <w:r>
        <w:t>Promote participation in higher education and equality of opportunity for learners</w:t>
      </w:r>
    </w:p>
    <w:p w14:paraId="0A4A0C54" w14:textId="77777777" w:rsidR="00E336A1" w:rsidRDefault="00E336A1" w:rsidP="00E336A1">
      <w:pPr>
        <w:pStyle w:val="ListParagraph"/>
        <w:numPr>
          <w:ilvl w:val="0"/>
          <w:numId w:val="8"/>
        </w:numPr>
      </w:pPr>
      <w:r>
        <w:t>Use evidence-informed approaches and the outcomes from research, scholarship and continuing professional development</w:t>
      </w:r>
    </w:p>
    <w:p w14:paraId="0A4A0C55" w14:textId="77777777" w:rsidR="00E336A1" w:rsidRDefault="00E336A1" w:rsidP="00E336A1">
      <w:pPr>
        <w:pStyle w:val="ListParagraph"/>
        <w:numPr>
          <w:ilvl w:val="0"/>
          <w:numId w:val="8"/>
        </w:numPr>
      </w:pPr>
      <w:r>
        <w:t>Acknowledge the wider context in which higher education operates recognising the implications for professional practice</w:t>
      </w:r>
    </w:p>
    <w:p w14:paraId="0A4A0C56" w14:textId="77777777" w:rsidR="00E336A1" w:rsidRDefault="00E336A1" w:rsidP="00E336A1">
      <w:pPr>
        <w:pStyle w:val="Heading1"/>
        <w:tabs>
          <w:tab w:val="left" w:pos="851"/>
        </w:tabs>
        <w:ind w:left="851" w:hanging="851"/>
      </w:pPr>
      <w:r>
        <w:lastRenderedPageBreak/>
        <w:t>A4:</w:t>
      </w:r>
      <w:r>
        <w:tab/>
        <w:t>Develop effective environments and approaches to student support and guidance</w:t>
      </w:r>
    </w:p>
    <w:p w14:paraId="0A4A0C57" w14:textId="77777777" w:rsidR="00E336A1" w:rsidRDefault="00E336A1" w:rsidP="00E336A1">
      <w:pPr>
        <w:pStyle w:val="Heading2"/>
      </w:pPr>
      <w:r>
        <w:t>Ideas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E336A1" w14:paraId="0A4A0C59" w14:textId="77777777" w:rsidTr="00511C5D">
        <w:trPr>
          <w:trHeight w:val="7255"/>
        </w:trPr>
        <w:tc>
          <w:tcPr>
            <w:tcW w:w="5000" w:type="pct"/>
          </w:tcPr>
          <w:p w14:paraId="0A4A0C58" w14:textId="77777777" w:rsidR="00E336A1" w:rsidRDefault="00E336A1" w:rsidP="00F769F3"/>
        </w:tc>
      </w:tr>
    </w:tbl>
    <w:p w14:paraId="0A4A0C5A" w14:textId="77777777" w:rsidR="00E336A1" w:rsidRDefault="00E336A1" w:rsidP="00E336A1">
      <w:pPr>
        <w:pStyle w:val="Heading3"/>
      </w:pPr>
      <w:r>
        <w:t>Core Knowledge</w:t>
      </w:r>
    </w:p>
    <w:p w14:paraId="0A4A0C5B" w14:textId="77777777" w:rsidR="00E336A1" w:rsidRDefault="00E336A1" w:rsidP="00E336A1">
      <w:pPr>
        <w:pStyle w:val="ListParagraph"/>
        <w:numPr>
          <w:ilvl w:val="0"/>
          <w:numId w:val="9"/>
        </w:numPr>
      </w:pPr>
      <w:r>
        <w:t>The subject material</w:t>
      </w:r>
    </w:p>
    <w:p w14:paraId="0A4A0C5C" w14:textId="77777777" w:rsidR="00E336A1" w:rsidRDefault="00E336A1" w:rsidP="00E336A1">
      <w:pPr>
        <w:pStyle w:val="ListParagraph"/>
        <w:numPr>
          <w:ilvl w:val="0"/>
          <w:numId w:val="9"/>
        </w:numPr>
      </w:pPr>
      <w:r>
        <w:t>Appropriate methods for teaching and learning in the subject area and at the level of the academic programme</w:t>
      </w:r>
    </w:p>
    <w:p w14:paraId="0A4A0C5D" w14:textId="77777777" w:rsidR="00E336A1" w:rsidRDefault="00E336A1" w:rsidP="00E336A1">
      <w:pPr>
        <w:pStyle w:val="ListParagraph"/>
        <w:numPr>
          <w:ilvl w:val="0"/>
          <w:numId w:val="9"/>
        </w:numPr>
      </w:pPr>
      <w:r>
        <w:t>How students learn, both generally and within their subject/disciplinary area(s)</w:t>
      </w:r>
    </w:p>
    <w:p w14:paraId="0A4A0C5E" w14:textId="77777777" w:rsidR="00E336A1" w:rsidRDefault="00E336A1" w:rsidP="00E336A1">
      <w:pPr>
        <w:pStyle w:val="ListParagraph"/>
        <w:numPr>
          <w:ilvl w:val="0"/>
          <w:numId w:val="9"/>
        </w:numPr>
      </w:pPr>
      <w:r>
        <w:t>The use and value of appropriate learning technologies</w:t>
      </w:r>
    </w:p>
    <w:p w14:paraId="0A4A0C5F" w14:textId="77777777" w:rsidR="00E336A1" w:rsidRDefault="00E336A1" w:rsidP="00E336A1">
      <w:pPr>
        <w:pStyle w:val="ListParagraph"/>
        <w:numPr>
          <w:ilvl w:val="0"/>
          <w:numId w:val="9"/>
        </w:numPr>
      </w:pPr>
      <w:r>
        <w:t>Methods for evaluating the effectiveness of teaching</w:t>
      </w:r>
    </w:p>
    <w:p w14:paraId="0A4A0C60" w14:textId="77777777" w:rsidR="00E336A1" w:rsidRDefault="00E336A1" w:rsidP="00E336A1">
      <w:pPr>
        <w:pStyle w:val="ListParagraph"/>
        <w:numPr>
          <w:ilvl w:val="0"/>
          <w:numId w:val="9"/>
        </w:numPr>
      </w:pPr>
      <w:r>
        <w:t>The implications of quality assurance and quality enhancement for academic and professional practice with a particular focus on teaching</w:t>
      </w:r>
    </w:p>
    <w:p w14:paraId="0A4A0C61" w14:textId="77777777" w:rsidR="00E336A1" w:rsidRDefault="00E336A1" w:rsidP="00E336A1">
      <w:pPr>
        <w:pStyle w:val="Heading3"/>
      </w:pPr>
      <w:r>
        <w:t>Professional Values</w:t>
      </w:r>
    </w:p>
    <w:p w14:paraId="0A4A0C62" w14:textId="77777777" w:rsidR="00E336A1" w:rsidRDefault="00E336A1" w:rsidP="00E336A1">
      <w:pPr>
        <w:pStyle w:val="ListParagraph"/>
        <w:numPr>
          <w:ilvl w:val="0"/>
          <w:numId w:val="10"/>
        </w:numPr>
      </w:pPr>
      <w:r>
        <w:t>Respect individual learners and diverse learning communities</w:t>
      </w:r>
    </w:p>
    <w:p w14:paraId="0A4A0C63" w14:textId="77777777" w:rsidR="00E336A1" w:rsidRDefault="00E336A1" w:rsidP="00E336A1">
      <w:pPr>
        <w:pStyle w:val="ListParagraph"/>
        <w:numPr>
          <w:ilvl w:val="0"/>
          <w:numId w:val="10"/>
        </w:numPr>
      </w:pPr>
      <w:r>
        <w:t>Promote participation in higher education and equality of opportunity for learners</w:t>
      </w:r>
    </w:p>
    <w:p w14:paraId="0A4A0C64" w14:textId="77777777" w:rsidR="00E336A1" w:rsidRDefault="00E336A1" w:rsidP="00E336A1">
      <w:pPr>
        <w:pStyle w:val="ListParagraph"/>
        <w:numPr>
          <w:ilvl w:val="0"/>
          <w:numId w:val="10"/>
        </w:numPr>
      </w:pPr>
      <w:r>
        <w:t>Use evidence-informed approaches and the outcomes from research, scholarship and continuing professional development</w:t>
      </w:r>
    </w:p>
    <w:p w14:paraId="0A4A0C65" w14:textId="77777777" w:rsidR="00E336A1" w:rsidRPr="00E336A1" w:rsidRDefault="00E336A1" w:rsidP="00E336A1">
      <w:pPr>
        <w:pStyle w:val="ListParagraph"/>
        <w:numPr>
          <w:ilvl w:val="0"/>
          <w:numId w:val="10"/>
        </w:numPr>
      </w:pPr>
      <w:r>
        <w:t>Acknowledge the wider context in which higher education operates recognising the implications for professional practice</w:t>
      </w:r>
    </w:p>
    <w:p w14:paraId="0A4A0C66" w14:textId="77777777" w:rsidR="00E336A1" w:rsidRDefault="00E336A1" w:rsidP="00E336A1">
      <w:pPr>
        <w:pStyle w:val="Heading1"/>
        <w:tabs>
          <w:tab w:val="left" w:pos="851"/>
        </w:tabs>
        <w:ind w:left="851" w:hanging="851"/>
      </w:pPr>
      <w:r>
        <w:lastRenderedPageBreak/>
        <w:t>A5:</w:t>
      </w:r>
      <w:r>
        <w:tab/>
        <w:t>Engage in continuing professional development in subjects/disciplines and their pedagogy, incorporating research, scholarship and the evaluation of professional practices</w:t>
      </w:r>
    </w:p>
    <w:p w14:paraId="0A4A0C67" w14:textId="77777777" w:rsidR="00E336A1" w:rsidRDefault="00E336A1" w:rsidP="00E336A1">
      <w:pPr>
        <w:pStyle w:val="Heading2"/>
      </w:pPr>
      <w:r>
        <w:t>Ideas</w:t>
      </w:r>
    </w:p>
    <w:tbl>
      <w:tblPr>
        <w:tblStyle w:val="TableGrid"/>
        <w:tblW w:w="4977" w:type="pct"/>
        <w:tblLook w:val="04A0" w:firstRow="1" w:lastRow="0" w:firstColumn="1" w:lastColumn="0" w:noHBand="0" w:noVBand="1"/>
      </w:tblPr>
      <w:tblGrid>
        <w:gridCol w:w="9809"/>
      </w:tblGrid>
      <w:tr w:rsidR="00E336A1" w14:paraId="0A4A0C69" w14:textId="77777777" w:rsidTr="00511C5D">
        <w:trPr>
          <w:trHeight w:val="6331"/>
        </w:trPr>
        <w:tc>
          <w:tcPr>
            <w:tcW w:w="5000" w:type="pct"/>
          </w:tcPr>
          <w:p w14:paraId="0A4A0C68" w14:textId="77777777" w:rsidR="00E336A1" w:rsidRDefault="00E336A1" w:rsidP="00F769F3"/>
        </w:tc>
      </w:tr>
    </w:tbl>
    <w:p w14:paraId="0A4A0C6A" w14:textId="77777777" w:rsidR="00E336A1" w:rsidRDefault="00E336A1" w:rsidP="00E336A1">
      <w:pPr>
        <w:pStyle w:val="Heading3"/>
      </w:pPr>
      <w:r>
        <w:t>Core Knowledge</w:t>
      </w:r>
    </w:p>
    <w:p w14:paraId="0A4A0C6B" w14:textId="77777777" w:rsidR="00E336A1" w:rsidRDefault="00E336A1" w:rsidP="00E336A1">
      <w:pPr>
        <w:pStyle w:val="ListParagraph"/>
        <w:numPr>
          <w:ilvl w:val="0"/>
          <w:numId w:val="11"/>
        </w:numPr>
      </w:pPr>
      <w:r>
        <w:t>The subject material</w:t>
      </w:r>
    </w:p>
    <w:p w14:paraId="0A4A0C6C" w14:textId="77777777" w:rsidR="00E336A1" w:rsidRDefault="00E336A1" w:rsidP="00E336A1">
      <w:pPr>
        <w:pStyle w:val="ListParagraph"/>
        <w:numPr>
          <w:ilvl w:val="0"/>
          <w:numId w:val="11"/>
        </w:numPr>
      </w:pPr>
      <w:r>
        <w:t>Appropriate methods for teaching and learning in the subject area and at the level of the academic programme</w:t>
      </w:r>
    </w:p>
    <w:p w14:paraId="0A4A0C6D" w14:textId="77777777" w:rsidR="00E336A1" w:rsidRDefault="00E336A1" w:rsidP="00E336A1">
      <w:pPr>
        <w:pStyle w:val="ListParagraph"/>
        <w:numPr>
          <w:ilvl w:val="0"/>
          <w:numId w:val="11"/>
        </w:numPr>
      </w:pPr>
      <w:r>
        <w:t>How students learn, both generally and within their subject/disciplinary area(s)</w:t>
      </w:r>
    </w:p>
    <w:p w14:paraId="0A4A0C6E" w14:textId="77777777" w:rsidR="00E336A1" w:rsidRDefault="00E336A1" w:rsidP="00E336A1">
      <w:pPr>
        <w:pStyle w:val="ListParagraph"/>
        <w:numPr>
          <w:ilvl w:val="0"/>
          <w:numId w:val="11"/>
        </w:numPr>
      </w:pPr>
      <w:r>
        <w:t>The use and value of appropriate learning technologies</w:t>
      </w:r>
    </w:p>
    <w:p w14:paraId="0A4A0C6F" w14:textId="77777777" w:rsidR="00E336A1" w:rsidRDefault="00E336A1" w:rsidP="00E336A1">
      <w:pPr>
        <w:pStyle w:val="ListParagraph"/>
        <w:numPr>
          <w:ilvl w:val="0"/>
          <w:numId w:val="11"/>
        </w:numPr>
      </w:pPr>
      <w:r>
        <w:t>Methods for evaluating the effectiveness of teaching</w:t>
      </w:r>
    </w:p>
    <w:p w14:paraId="0A4A0C70" w14:textId="77777777" w:rsidR="00E336A1" w:rsidRDefault="00E336A1" w:rsidP="00E336A1">
      <w:pPr>
        <w:pStyle w:val="ListParagraph"/>
        <w:numPr>
          <w:ilvl w:val="0"/>
          <w:numId w:val="11"/>
        </w:numPr>
      </w:pPr>
      <w:r>
        <w:t>The implications of quality assurance and quality enhancement for academic and professional practice with a particular focus on teaching</w:t>
      </w:r>
    </w:p>
    <w:p w14:paraId="0A4A0C71" w14:textId="77777777" w:rsidR="00E336A1" w:rsidRDefault="00E336A1" w:rsidP="00E336A1">
      <w:pPr>
        <w:pStyle w:val="Heading3"/>
      </w:pPr>
      <w:r>
        <w:t>Professional Values</w:t>
      </w:r>
    </w:p>
    <w:p w14:paraId="0A4A0C72" w14:textId="77777777" w:rsidR="00E336A1" w:rsidRDefault="00E336A1" w:rsidP="00E336A1">
      <w:pPr>
        <w:pStyle w:val="ListParagraph"/>
        <w:numPr>
          <w:ilvl w:val="0"/>
          <w:numId w:val="12"/>
        </w:numPr>
      </w:pPr>
      <w:r>
        <w:t>Respect individual learners and diverse learning communities</w:t>
      </w:r>
    </w:p>
    <w:p w14:paraId="0A4A0C73" w14:textId="77777777" w:rsidR="00E336A1" w:rsidRDefault="00E336A1" w:rsidP="00E336A1">
      <w:pPr>
        <w:pStyle w:val="ListParagraph"/>
        <w:numPr>
          <w:ilvl w:val="0"/>
          <w:numId w:val="12"/>
        </w:numPr>
      </w:pPr>
      <w:r>
        <w:t>Promote participation in higher education and equality of opportunity for learners</w:t>
      </w:r>
    </w:p>
    <w:p w14:paraId="0A4A0C74" w14:textId="77777777" w:rsidR="00E336A1" w:rsidRDefault="00E336A1" w:rsidP="00E336A1">
      <w:pPr>
        <w:pStyle w:val="ListParagraph"/>
        <w:numPr>
          <w:ilvl w:val="0"/>
          <w:numId w:val="12"/>
        </w:numPr>
      </w:pPr>
      <w:r>
        <w:t>Use evidence-informed approaches and the outcomes from research, scholarship and continuing professional development</w:t>
      </w:r>
    </w:p>
    <w:p w14:paraId="0A4A0C75" w14:textId="77777777" w:rsidR="00E336A1" w:rsidRPr="00E336A1" w:rsidRDefault="00E336A1" w:rsidP="00E336A1">
      <w:pPr>
        <w:pStyle w:val="ListParagraph"/>
        <w:numPr>
          <w:ilvl w:val="0"/>
          <w:numId w:val="12"/>
        </w:numPr>
      </w:pPr>
      <w:r>
        <w:t>Acknowledge the wider context in which higher education operates recognising the implications for professional practice</w:t>
      </w:r>
    </w:p>
    <w:sectPr w:rsidR="00E336A1" w:rsidRPr="00E336A1" w:rsidSect="00E336A1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87681" w14:textId="77777777" w:rsidR="00511C5D" w:rsidRDefault="00511C5D" w:rsidP="00511C5D">
      <w:pPr>
        <w:spacing w:before="0" w:line="240" w:lineRule="auto"/>
      </w:pPr>
      <w:r>
        <w:separator/>
      </w:r>
    </w:p>
  </w:endnote>
  <w:endnote w:type="continuationSeparator" w:id="0">
    <w:p w14:paraId="7F29C7E8" w14:textId="77777777" w:rsidR="00511C5D" w:rsidRDefault="00511C5D" w:rsidP="00511C5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3048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C3AFBA" w14:textId="0EDC3957" w:rsidR="00511C5D" w:rsidRDefault="00511C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30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8A3F75" w14:textId="77777777" w:rsidR="00511C5D" w:rsidRDefault="00511C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21E1D" w14:textId="77777777" w:rsidR="00511C5D" w:rsidRDefault="00511C5D" w:rsidP="00511C5D">
      <w:pPr>
        <w:spacing w:before="0" w:line="240" w:lineRule="auto"/>
      </w:pPr>
      <w:r>
        <w:separator/>
      </w:r>
    </w:p>
  </w:footnote>
  <w:footnote w:type="continuationSeparator" w:id="0">
    <w:p w14:paraId="5A33E055" w14:textId="77777777" w:rsidR="00511C5D" w:rsidRDefault="00511C5D" w:rsidP="00511C5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713D7" w14:textId="77777777" w:rsidR="00511C5D" w:rsidRDefault="00511C5D" w:rsidP="00511C5D">
    <w:pPr>
      <w:pStyle w:val="Header"/>
      <w:jc w:val="right"/>
    </w:pPr>
    <w:r>
      <w:t>Academic Development Unit, Feb 2015</w:t>
    </w:r>
  </w:p>
  <w:p w14:paraId="75A4A0BC" w14:textId="77777777" w:rsidR="00511C5D" w:rsidRDefault="00511C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14B6"/>
    <w:multiLevelType w:val="hybridMultilevel"/>
    <w:tmpl w:val="2884B466"/>
    <w:lvl w:ilvl="0" w:tplc="5606A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A53B9"/>
    <w:multiLevelType w:val="hybridMultilevel"/>
    <w:tmpl w:val="6CAA2AD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697BFE"/>
    <w:multiLevelType w:val="hybridMultilevel"/>
    <w:tmpl w:val="2BDCE8B4"/>
    <w:lvl w:ilvl="0" w:tplc="CA86E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F6858"/>
    <w:multiLevelType w:val="hybridMultilevel"/>
    <w:tmpl w:val="8B52638E"/>
    <w:lvl w:ilvl="0" w:tplc="C42E9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A2D05"/>
    <w:multiLevelType w:val="hybridMultilevel"/>
    <w:tmpl w:val="1D140CCA"/>
    <w:lvl w:ilvl="0" w:tplc="C42E9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77851"/>
    <w:multiLevelType w:val="hybridMultilevel"/>
    <w:tmpl w:val="3118B322"/>
    <w:lvl w:ilvl="0" w:tplc="7262A4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84E07"/>
    <w:multiLevelType w:val="hybridMultilevel"/>
    <w:tmpl w:val="7550FA32"/>
    <w:lvl w:ilvl="0" w:tplc="C42E9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8578C"/>
    <w:multiLevelType w:val="hybridMultilevel"/>
    <w:tmpl w:val="407E9FC6"/>
    <w:lvl w:ilvl="0" w:tplc="2F565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90654"/>
    <w:multiLevelType w:val="hybridMultilevel"/>
    <w:tmpl w:val="FD3802E0"/>
    <w:lvl w:ilvl="0" w:tplc="C42E9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B3937"/>
    <w:multiLevelType w:val="hybridMultilevel"/>
    <w:tmpl w:val="B9FEF912"/>
    <w:lvl w:ilvl="0" w:tplc="5A66969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087D79"/>
    <w:multiLevelType w:val="hybridMultilevel"/>
    <w:tmpl w:val="A8F8B8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651C8"/>
    <w:multiLevelType w:val="hybridMultilevel"/>
    <w:tmpl w:val="666E16E2"/>
    <w:lvl w:ilvl="0" w:tplc="C42E9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C421D"/>
    <w:multiLevelType w:val="hybridMultilevel"/>
    <w:tmpl w:val="D8502BA2"/>
    <w:lvl w:ilvl="0" w:tplc="CB200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BB375F"/>
    <w:multiLevelType w:val="hybridMultilevel"/>
    <w:tmpl w:val="C94E6C7A"/>
    <w:lvl w:ilvl="0" w:tplc="C42E9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30861"/>
    <w:multiLevelType w:val="hybridMultilevel"/>
    <w:tmpl w:val="2A5A295C"/>
    <w:lvl w:ilvl="0" w:tplc="C42E9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D7527C"/>
    <w:multiLevelType w:val="hybridMultilevel"/>
    <w:tmpl w:val="4EBE35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BF24708"/>
    <w:multiLevelType w:val="hybridMultilevel"/>
    <w:tmpl w:val="A19C7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3269E"/>
    <w:multiLevelType w:val="hybridMultilevel"/>
    <w:tmpl w:val="C3EA642E"/>
    <w:lvl w:ilvl="0" w:tplc="C79AF2B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16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4"/>
  </w:num>
  <w:num w:numId="9">
    <w:abstractNumId w:val="3"/>
  </w:num>
  <w:num w:numId="10">
    <w:abstractNumId w:val="13"/>
  </w:num>
  <w:num w:numId="11">
    <w:abstractNumId w:val="11"/>
  </w:num>
  <w:num w:numId="12">
    <w:abstractNumId w:val="8"/>
  </w:num>
  <w:num w:numId="13">
    <w:abstractNumId w:val="7"/>
  </w:num>
  <w:num w:numId="14">
    <w:abstractNumId w:val="0"/>
  </w:num>
  <w:num w:numId="15">
    <w:abstractNumId w:val="15"/>
  </w:num>
  <w:num w:numId="16">
    <w:abstractNumId w:val="1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A1"/>
    <w:rsid w:val="00262CE5"/>
    <w:rsid w:val="00264A3C"/>
    <w:rsid w:val="00281E83"/>
    <w:rsid w:val="00284DD3"/>
    <w:rsid w:val="002C30A8"/>
    <w:rsid w:val="003121C0"/>
    <w:rsid w:val="0031613F"/>
    <w:rsid w:val="004472F8"/>
    <w:rsid w:val="00511C5D"/>
    <w:rsid w:val="005553A9"/>
    <w:rsid w:val="0061521E"/>
    <w:rsid w:val="006856D3"/>
    <w:rsid w:val="006F2072"/>
    <w:rsid w:val="00742F92"/>
    <w:rsid w:val="007B5BEB"/>
    <w:rsid w:val="007E2C01"/>
    <w:rsid w:val="009A1E92"/>
    <w:rsid w:val="009A4EF8"/>
    <w:rsid w:val="009B3B83"/>
    <w:rsid w:val="009D60A5"/>
    <w:rsid w:val="009F78FE"/>
    <w:rsid w:val="00A07D14"/>
    <w:rsid w:val="00B132BD"/>
    <w:rsid w:val="00B978FE"/>
    <w:rsid w:val="00C21BA2"/>
    <w:rsid w:val="00C3535A"/>
    <w:rsid w:val="00C7463E"/>
    <w:rsid w:val="00C81847"/>
    <w:rsid w:val="00CF0471"/>
    <w:rsid w:val="00D10B20"/>
    <w:rsid w:val="00D12ED3"/>
    <w:rsid w:val="00D42BAB"/>
    <w:rsid w:val="00D75D79"/>
    <w:rsid w:val="00E336A1"/>
    <w:rsid w:val="00E8377A"/>
    <w:rsid w:val="00F5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A0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line="276" w:lineRule="auto"/>
        <w:ind w:left="92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BA2"/>
    <w:pPr>
      <w:ind w:left="0" w:firstLine="0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CE5"/>
    <w:pPr>
      <w:keepNext/>
      <w:keepLines/>
      <w:spacing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F68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F68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2CE5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rsid w:val="00D42BAB"/>
    <w:pPr>
      <w:spacing w:line="288" w:lineRule="auto"/>
      <w:outlineLvl w:val="4"/>
    </w:pPr>
    <w:rPr>
      <w:rFonts w:eastAsiaTheme="minorEastAsia"/>
      <w:bCs/>
      <w:i/>
      <w:i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CE5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1F68"/>
    <w:rPr>
      <w:rFonts w:ascii="Verdana" w:eastAsiaTheme="majorEastAsia" w:hAnsi="Verdan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1F68"/>
    <w:rPr>
      <w:rFonts w:ascii="Verdana" w:eastAsiaTheme="majorEastAsia" w:hAnsi="Verdan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62CE5"/>
    <w:rPr>
      <w:rFonts w:ascii="Verdana" w:eastAsiaTheme="majorEastAsia" w:hAnsi="Verdana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rsid w:val="00D42BAB"/>
    <w:rPr>
      <w:rFonts w:ascii="Verdana" w:eastAsiaTheme="minorEastAsia" w:hAnsi="Verdana" w:cstheme="minorBidi"/>
      <w:bCs/>
      <w:i/>
      <w:iCs/>
      <w:szCs w:val="26"/>
      <w:lang w:eastAsia="en-US"/>
    </w:rPr>
  </w:style>
  <w:style w:type="table" w:styleId="TableGrid">
    <w:name w:val="Table Grid"/>
    <w:basedOn w:val="TableNormal"/>
    <w:uiPriority w:val="59"/>
    <w:rsid w:val="00E336A1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336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1C5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C5D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511C5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C5D"/>
    <w:rPr>
      <w:rFonts w:ascii="Verdana" w:hAnsi="Verdan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line="276" w:lineRule="auto"/>
        <w:ind w:left="92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BA2"/>
    <w:pPr>
      <w:ind w:left="0" w:firstLine="0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CE5"/>
    <w:pPr>
      <w:keepNext/>
      <w:keepLines/>
      <w:spacing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F68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F68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2CE5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rsid w:val="00D42BAB"/>
    <w:pPr>
      <w:spacing w:line="288" w:lineRule="auto"/>
      <w:outlineLvl w:val="4"/>
    </w:pPr>
    <w:rPr>
      <w:rFonts w:eastAsiaTheme="minorEastAsia"/>
      <w:bCs/>
      <w:i/>
      <w:i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CE5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1F68"/>
    <w:rPr>
      <w:rFonts w:ascii="Verdana" w:eastAsiaTheme="majorEastAsia" w:hAnsi="Verdan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1F68"/>
    <w:rPr>
      <w:rFonts w:ascii="Verdana" w:eastAsiaTheme="majorEastAsia" w:hAnsi="Verdan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62CE5"/>
    <w:rPr>
      <w:rFonts w:ascii="Verdana" w:eastAsiaTheme="majorEastAsia" w:hAnsi="Verdana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rsid w:val="00D42BAB"/>
    <w:rPr>
      <w:rFonts w:ascii="Verdana" w:eastAsiaTheme="minorEastAsia" w:hAnsi="Verdana" w:cstheme="minorBidi"/>
      <w:bCs/>
      <w:i/>
      <w:iCs/>
      <w:szCs w:val="26"/>
      <w:lang w:eastAsia="en-US"/>
    </w:rPr>
  </w:style>
  <w:style w:type="table" w:styleId="TableGrid">
    <w:name w:val="Table Grid"/>
    <w:basedOn w:val="TableNormal"/>
    <w:uiPriority w:val="59"/>
    <w:rsid w:val="00E336A1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336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1C5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C5D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511C5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C5D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8BF773F2D3445AB70C5AD854B8A89" ma:contentTypeVersion="0" ma:contentTypeDescription="Create a new document." ma:contentTypeScope="" ma:versionID="bc9fe79c105f006dfbb050b9bc16fad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CD189-FEA1-4E30-9330-C791E8DE6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DC9FBA1-AD4D-4DBE-9EFC-8A31FEC36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E3713-0166-45D0-A23A-B637F6DD17B1}">
  <ds:schemaRefs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D147753-AB8E-4857-8F04-D3B3B072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Gloucestershire</Company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GRAVESTOCK, Phil (Dr)</dc:creator>
  <cp:lastModifiedBy>O'LEARY, Ros</cp:lastModifiedBy>
  <cp:revision>2</cp:revision>
  <dcterms:created xsi:type="dcterms:W3CDTF">2015-04-15T13:48:00Z</dcterms:created>
  <dcterms:modified xsi:type="dcterms:W3CDTF">2015-04-15T13:48:00Z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0x0101005D18BF773F2D3445AB70C5AD854B8A89</vt:lpwstr>
  </property>
</Properties>
</file>